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bidi w:val="0"/>
        <w:adjustRightInd/>
        <w:snapToGrid/>
        <w:spacing w:before="780" w:beforeLines="250" w:after="0" w:afterLines="0" w:line="560" w:lineRule="exact"/>
        <w:textAlignment w:val="auto"/>
        <w:outlineLvl w:val="9"/>
        <w:rPr>
          <w:rFonts w:hint="eastAsia" w:ascii="方正小标宋简体" w:hAnsi="宋体" w:eastAsia="方正小标宋简体"/>
          <w:color w:val="FF3300"/>
          <w:sz w:val="96"/>
          <w:szCs w:val="32"/>
        </w:rPr>
      </w:pPr>
    </w:p>
    <w:p>
      <w:pPr>
        <w:keepNext w:val="0"/>
        <w:keepLines w:val="0"/>
        <w:pageBreakBefore w:val="0"/>
        <w:kinsoku/>
        <w:wordWrap/>
        <w:overflowPunct/>
        <w:topLinePunct w:val="0"/>
        <w:autoSpaceDE/>
        <w:bidi w:val="0"/>
        <w:adjustRightInd/>
        <w:snapToGrid/>
        <w:spacing w:before="780" w:beforeLines="250" w:after="0" w:afterLines="0" w:line="560" w:lineRule="exact"/>
        <w:textAlignment w:val="auto"/>
        <w:outlineLvl w:val="9"/>
        <w:rPr>
          <w:rFonts w:hint="eastAsia" w:ascii="方正小标宋简体" w:hAnsi="宋体" w:eastAsia="方正小标宋简体"/>
          <w:color w:val="FF3300"/>
          <w:sz w:val="96"/>
          <w:szCs w:val="32"/>
        </w:rPr>
      </w:pPr>
    </w:p>
    <w:p>
      <w:pPr>
        <w:keepNext w:val="0"/>
        <w:keepLines w:val="0"/>
        <w:pageBreakBefore w:val="0"/>
        <w:kinsoku/>
        <w:wordWrap/>
        <w:overflowPunct/>
        <w:topLinePunct w:val="0"/>
        <w:autoSpaceDE/>
        <w:bidi w:val="0"/>
        <w:adjustRightInd/>
        <w:snapToGrid/>
        <w:spacing w:before="780" w:beforeLines="250" w:after="0" w:afterLines="0" w:line="560" w:lineRule="exact"/>
        <w:textAlignment w:val="auto"/>
        <w:outlineLvl w:val="9"/>
        <w:rPr>
          <w:rFonts w:hint="eastAsia" w:ascii="方正小标宋简体" w:hAnsi="宋体" w:eastAsia="方正小标宋简体"/>
          <w:color w:val="FF3300"/>
          <w:sz w:val="96"/>
          <w:szCs w:val="32"/>
        </w:rPr>
      </w:pPr>
      <w:r>
        <w:rPr>
          <w:rFonts w:hint="eastAsia" w:ascii="方正小标宋简体" w:hAnsi="宋体" w:eastAsia="方正小标宋简体"/>
          <w:color w:val="FF3300"/>
          <w:sz w:val="96"/>
          <w:szCs w:val="32"/>
        </w:rPr>
        <w:t>托克逊县财政局文件</w:t>
      </w:r>
    </w:p>
    <w:p>
      <w:pPr>
        <w:keepNext w:val="0"/>
        <w:keepLines w:val="0"/>
        <w:pageBreakBefore w:val="0"/>
        <w:kinsoku/>
        <w:wordWrap/>
        <w:overflowPunct/>
        <w:topLinePunct w:val="0"/>
        <w:autoSpaceDE/>
        <w:bidi w:val="0"/>
        <w:adjustRightInd/>
        <w:snapToGrid/>
        <w:spacing w:after="0" w:afterLines="0" w:line="560" w:lineRule="exact"/>
        <w:jc w:val="center"/>
        <w:textAlignment w:val="auto"/>
        <w:outlineLvl w:val="9"/>
        <w:rPr>
          <w:rFonts w:hint="eastAsia" w:ascii="仿宋_GB2312" w:hAnsi="仿宋_GB2312" w:eastAsia="仿宋_GB2312" w:cs="仿宋_GB2312"/>
          <w:sz w:val="32"/>
        </w:rPr>
      </w:pPr>
    </w:p>
    <w:p>
      <w:pPr>
        <w:keepNext w:val="0"/>
        <w:keepLines w:val="0"/>
        <w:pageBreakBefore w:val="0"/>
        <w:kinsoku/>
        <w:wordWrap/>
        <w:overflowPunct/>
        <w:topLinePunct w:val="0"/>
        <w:autoSpaceDE/>
        <w:bidi w:val="0"/>
        <w:adjustRightInd/>
        <w:snapToGrid/>
        <w:spacing w:after="0" w:afterLines="0" w:line="560" w:lineRule="exact"/>
        <w:jc w:val="center"/>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托财社〔202</w:t>
      </w:r>
      <w:r>
        <w:rPr>
          <w:rFonts w:hint="eastAsia" w:ascii="仿宋_GB2312" w:hAnsi="仿宋_GB2312" w:eastAsia="仿宋_GB2312" w:cs="仿宋_GB2312"/>
          <w:sz w:val="32"/>
          <w:lang w:val="en-US" w:eastAsia="zh-CN"/>
        </w:rPr>
        <w:t>4</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75</w:t>
      </w:r>
      <w:r>
        <w:rPr>
          <w:rFonts w:hint="eastAsia" w:ascii="仿宋_GB2312" w:hAnsi="仿宋_GB2312" w:eastAsia="仿宋_GB2312" w:cs="仿宋_GB2312"/>
          <w:sz w:val="32"/>
        </w:rPr>
        <w:t xml:space="preserve">号                 </w:t>
      </w:r>
    </w:p>
    <w:p>
      <w:pPr>
        <w:spacing w:line="600" w:lineRule="exact"/>
        <w:jc w:val="center"/>
        <w:rPr>
          <w:rFonts w:hint="eastAsia" w:ascii="方正小标宋_GBK" w:eastAsia="方正小标宋_GBK"/>
          <w:sz w:val="44"/>
          <w:szCs w:val="40"/>
          <w:lang w:val="en-US" w:eastAsia="zh-CN"/>
        </w:rPr>
      </w:pPr>
      <w:r>
        <w:rPr>
          <w:rFonts w:hint="eastAsia" w:ascii="仿宋_GB2312" w:hAnsi="仿宋_GB2312" w:eastAsia="仿宋_GB2312" w:cs="仿宋_GB2312"/>
          <w:color w:val="FF5050"/>
          <w:sz w:val="32"/>
        </w:rPr>
        <w:t>━━━━━━━━━━━━━━━━━━━━━━━━━━━</w:t>
      </w:r>
      <w:r>
        <w:rPr>
          <w:rFonts w:hint="eastAsia" w:ascii="仿宋_GB2312" w:hAnsi="仿宋_GB2312" w:eastAsia="仿宋_GB2312" w:cs="仿宋_GB2312"/>
          <w:b/>
          <w:color w:val="000000"/>
          <w:sz w:val="44"/>
          <w:szCs w:val="44"/>
        </w:rPr>
        <w:t xml:space="preserve">  </w:t>
      </w:r>
      <w:r>
        <w:rPr>
          <w:rFonts w:hint="eastAsia" w:ascii="方正小标宋_GBK" w:eastAsia="方正小标宋_GBK"/>
          <w:sz w:val="44"/>
          <w:szCs w:val="4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vanish w:val="0"/>
          <w:sz w:val="44"/>
          <w:szCs w:val="44"/>
          <w:lang w:eastAsia="zh-CN"/>
        </w:rPr>
      </w:pPr>
      <w:r>
        <w:rPr>
          <w:rFonts w:hint="eastAsia" w:ascii="方正小标宋简体" w:hAnsi="方正小标宋简体" w:eastAsia="方正小标宋简体" w:cs="方正小标宋简体"/>
          <w:vanish w:val="0"/>
          <w:sz w:val="44"/>
          <w:szCs w:val="44"/>
          <w:lang w:eastAsia="zh-CN"/>
        </w:rPr>
        <w:t>关于提前下达2025年中央财政残疾人事业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eastAsia="仿宋_GB2312"/>
          <w:spacing w:val="-6"/>
          <w:sz w:val="32"/>
          <w:szCs w:val="32"/>
        </w:rPr>
      </w:pPr>
      <w:r>
        <w:rPr>
          <w:rFonts w:hint="eastAsia" w:ascii="方正小标宋简体" w:hAnsi="方正小标宋简体" w:eastAsia="方正小标宋简体" w:cs="方正小标宋简体"/>
          <w:vanish w:val="0"/>
          <w:sz w:val="44"/>
          <w:szCs w:val="44"/>
          <w:lang w:eastAsia="zh-CN"/>
        </w:rPr>
        <w:t>发展补助资金预算的通知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6"/>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pacing w:val="-6"/>
          <w:sz w:val="32"/>
          <w:szCs w:val="32"/>
        </w:rPr>
        <w:t>县</w:t>
      </w:r>
      <w:r>
        <w:rPr>
          <w:rFonts w:hint="eastAsia" w:ascii="仿宋_GB2312" w:hAnsi="仿宋_GB2312" w:eastAsia="仿宋_GB2312" w:cs="仿宋_GB2312"/>
          <w:spacing w:val="-6"/>
          <w:sz w:val="32"/>
          <w:szCs w:val="32"/>
          <w:lang w:val="en-US" w:eastAsia="zh-CN"/>
        </w:rPr>
        <w:t>残疾人联合会</w:t>
      </w:r>
      <w:r>
        <w:rPr>
          <w:rFonts w:hint="eastAsia" w:ascii="仿宋_GB2312" w:hAnsi="仿宋_GB2312" w:eastAsia="仿宋_GB2312" w:cs="仿宋_GB2312"/>
          <w:spacing w:val="-6"/>
          <w:sz w:val="32"/>
          <w:szCs w:val="32"/>
        </w:rPr>
        <w:t>：</w:t>
      </w:r>
    </w:p>
    <w:p>
      <w:pPr>
        <w:spacing w:line="580" w:lineRule="exact"/>
        <w:ind w:firstLine="640" w:firstLineChars="200"/>
        <w:jc w:val="both"/>
        <w:rPr>
          <w:rFonts w:hint="eastAsia" w:ascii="仿宋_GB2312" w:hAnsi="Calibri" w:eastAsia="仿宋_GB2312" w:cs="Times New Roman"/>
          <w:kern w:val="2"/>
          <w:sz w:val="32"/>
          <w:szCs w:val="32"/>
        </w:rPr>
      </w:pPr>
      <w:r>
        <w:rPr>
          <w:rFonts w:hint="eastAsia" w:ascii="仿宋_GB2312" w:hAnsi="Calibri" w:eastAsia="仿宋_GB2312" w:cs="仿宋_GB2312"/>
          <w:kern w:val="2"/>
          <w:sz w:val="32"/>
          <w:szCs w:val="32"/>
          <w:lang w:val="en-US" w:eastAsia="zh-CN" w:bidi="ar"/>
        </w:rPr>
        <w:t>为提高预算完整性，加快支出进度，保障全县残疾人各项事业健康发展，根据吐鲁番市财政局《关于提前下达2025年自治区财政残疾人事业发展补助资金预算的通知》（</w:t>
      </w:r>
      <w:r>
        <w:rPr>
          <w:rFonts w:hint="eastAsia" w:ascii="仿宋_GB2312" w:eastAsia="仿宋_GB2312"/>
          <w:vanish w:val="0"/>
          <w:sz w:val="32"/>
          <w:szCs w:val="32"/>
          <w:lang w:val="en-US" w:eastAsia="zh-CN"/>
        </w:rPr>
        <w:t>吐市</w:t>
      </w:r>
      <w:r>
        <w:rPr>
          <w:rFonts w:hint="default" w:ascii="仿宋_GB2312" w:eastAsia="仿宋_GB2312"/>
          <w:vanish w:val="0"/>
          <w:sz w:val="32"/>
          <w:szCs w:val="32"/>
          <w:lang w:eastAsia="zh-CN"/>
        </w:rPr>
        <w:t>财社〔2024〕</w:t>
      </w:r>
      <w:r>
        <w:rPr>
          <w:rFonts w:hint="eastAsia" w:ascii="仿宋_GB2312" w:eastAsia="仿宋_GB2312"/>
          <w:vanish w:val="0"/>
          <w:sz w:val="32"/>
          <w:szCs w:val="32"/>
          <w:lang w:val="en-US" w:eastAsia="zh-CN"/>
        </w:rPr>
        <w:t>107</w:t>
      </w:r>
      <w:r>
        <w:rPr>
          <w:rFonts w:hint="default" w:ascii="仿宋_GB2312" w:eastAsia="仿宋_GB2312"/>
          <w:vanish w:val="0"/>
          <w:sz w:val="32"/>
          <w:szCs w:val="32"/>
          <w:lang w:eastAsia="zh-CN"/>
        </w:rPr>
        <w:t>号</w:t>
      </w:r>
      <w:r>
        <w:rPr>
          <w:rFonts w:hint="eastAsia" w:ascii="仿宋_GB2312" w:hAnsi="Calibri" w:eastAsia="仿宋_GB2312" w:cs="仿宋_GB2312"/>
          <w:kern w:val="2"/>
          <w:sz w:val="32"/>
          <w:szCs w:val="32"/>
          <w:lang w:val="en-US" w:eastAsia="zh-CN" w:bidi="ar"/>
        </w:rPr>
        <w:t>），现提前下达你单位2025年自治区财政支持残疾人事业发展补助资金</w:t>
      </w:r>
      <w:r>
        <w:rPr>
          <w:rFonts w:hint="eastAsia" w:ascii="仿宋_GB2312" w:hAnsi="Calibri" w:eastAsia="仿宋_GB2312" w:cs="仿宋_GB2312"/>
          <w:b/>
          <w:bCs/>
          <w:kern w:val="2"/>
          <w:sz w:val="32"/>
          <w:szCs w:val="32"/>
          <w:lang w:val="en-US" w:eastAsia="zh-CN" w:bidi="ar"/>
        </w:rPr>
        <w:t>63.56万元</w:t>
      </w:r>
      <w:r>
        <w:rPr>
          <w:rFonts w:hint="eastAsia" w:ascii="仿宋_GB2312" w:hAnsi="Calibri" w:eastAsia="仿宋_GB2312" w:cs="仿宋_GB2312"/>
          <w:b w:val="0"/>
          <w:bCs w:val="0"/>
          <w:kern w:val="2"/>
          <w:sz w:val="32"/>
          <w:szCs w:val="32"/>
          <w:lang w:val="en-US" w:eastAsia="zh-CN" w:bidi="ar"/>
        </w:rPr>
        <w:t>（一般公共预算资金26.06万元；彩票公益金支持残疾人事业发展补助资金37.5万元）</w:t>
      </w:r>
      <w:r>
        <w:rPr>
          <w:rFonts w:hint="eastAsia" w:ascii="仿宋_GB2312" w:hAnsi="Calibri" w:eastAsia="仿宋_GB2312" w:cs="仿宋_GB2312"/>
          <w:kern w:val="2"/>
          <w:sz w:val="32"/>
          <w:szCs w:val="32"/>
          <w:lang w:val="en-US" w:eastAsia="zh-CN" w:bidi="ar"/>
        </w:rPr>
        <w:t>，并将有关事宜通知如下：</w:t>
      </w:r>
    </w:p>
    <w:p>
      <w:pPr>
        <w:keepNext w:val="0"/>
        <w:keepLines w:val="0"/>
        <w:widowControl w:val="0"/>
        <w:numPr>
          <w:ilvl w:val="0"/>
          <w:numId w:val="1"/>
        </w:numPr>
        <w:suppressLineNumbers w:val="0"/>
        <w:spacing w:before="0" w:beforeAutospacing="0" w:after="0" w:afterAutospacing="0" w:line="600" w:lineRule="exact"/>
        <w:ind w:left="0" w:right="0" w:firstLine="640" w:firstLineChars="200"/>
        <w:jc w:val="both"/>
        <w:rPr>
          <w:rFonts w:hint="eastAsia" w:ascii="仿宋_GB2312" w:hAnsi="Calibri" w:eastAsia="仿宋_GB2312" w:cs="Times New Roman"/>
          <w:kern w:val="2"/>
          <w:sz w:val="32"/>
          <w:szCs w:val="32"/>
          <w:highlight w:val="none"/>
        </w:rPr>
      </w:pPr>
      <w:r>
        <w:rPr>
          <w:rFonts w:hint="eastAsia" w:ascii="仿宋_GB2312" w:hAnsi="Calibri" w:eastAsia="仿宋_GB2312" w:cs="仿宋_GB2312"/>
          <w:kern w:val="2"/>
          <w:sz w:val="32"/>
          <w:szCs w:val="32"/>
          <w:lang w:val="en-US" w:eastAsia="zh-CN" w:bidi="ar"/>
        </w:rPr>
        <w:t>此次下达的自治区财政补助资金，一般公共预算资金收入列2025年政府收支分类科目中的一般公共预算资金收支分类科目“1100248社会保障和就业共同财政事权转移支付收入”，支出列“208社会保障和就业支出”下各相关科目，你单位必须根据实际支出方向将支出功能科目明确至项级科目（可在预算管理一体化系统中对自治区下达的项级科目按照实际进行调整），待2025年预算年度开始后，按支出方向单独记账，分别核算。补助资金主要用于经济残疾人基本康复服务、爱心天使助学、扶持盲人按摩机构、寄宿制托养、日间照料等支出。</w:t>
      </w:r>
    </w:p>
    <w:p>
      <w:pPr>
        <w:keepNext w:val="0"/>
        <w:keepLines w:val="0"/>
        <w:widowControl w:val="0"/>
        <w:numPr>
          <w:ilvl w:val="0"/>
          <w:numId w:val="0"/>
        </w:numPr>
        <w:suppressLineNumbers w:val="0"/>
        <w:spacing w:before="0" w:beforeAutospacing="0" w:after="0" w:afterAutospacing="0" w:line="600" w:lineRule="exact"/>
        <w:ind w:right="0" w:rightChars="0" w:firstLine="640" w:firstLineChars="200"/>
        <w:jc w:val="both"/>
        <w:rPr>
          <w:rFonts w:hint="eastAsia" w:ascii="仿宋_GB2312" w:hAnsi="Calibri" w:eastAsia="仿宋_GB2312" w:cs="Times New Roman"/>
          <w:kern w:val="2"/>
          <w:sz w:val="32"/>
          <w:szCs w:val="32"/>
          <w:highlight w:val="none"/>
        </w:rPr>
      </w:pPr>
      <w:r>
        <w:rPr>
          <w:rFonts w:hint="eastAsia" w:ascii="仿宋_GB2312" w:hAnsi="Calibri" w:eastAsia="仿宋_GB2312" w:cs="仿宋_GB2312"/>
          <w:kern w:val="2"/>
          <w:sz w:val="32"/>
          <w:szCs w:val="32"/>
          <w:lang w:val="en-US" w:eastAsia="zh-CN" w:bidi="ar"/>
        </w:rPr>
        <w:t>自治区彩票公益金支持残疾人事业发展补助资金收入列2025年政府收支分类科目中的政府性基金预算收支分类科目“1100499其他收入”，支出列“2296006用于残疾人事业的彩票公益金支出”，补助资金主要用于0—6岁残疾儿童康复救助、残疾人体育、残疾人辅具适配等方面支出。</w:t>
      </w:r>
      <w:r>
        <w:rPr>
          <w:rFonts w:hint="eastAsia" w:ascii="仿宋_GB2312" w:hAnsi="Calibri" w:eastAsia="仿宋_GB2312" w:cs="仿宋_GB2312"/>
          <w:kern w:val="2"/>
          <w:sz w:val="32"/>
          <w:szCs w:val="32"/>
          <w:highlight w:val="none"/>
          <w:lang w:val="en-US" w:eastAsia="zh-CN" w:bidi="ar"/>
        </w:rPr>
        <w:t>上述资金预算待2025年预算年度开始后，按程序申请使用。</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Calibri" w:eastAsia="仿宋_GB2312" w:cs="仿宋_GB2312"/>
          <w:kern w:val="2"/>
          <w:sz w:val="32"/>
          <w:szCs w:val="32"/>
          <w:lang w:val="en-US" w:eastAsia="zh-CN" w:bidi="ar"/>
        </w:rPr>
      </w:pPr>
      <w:r>
        <w:rPr>
          <w:rFonts w:hint="eastAsia" w:ascii="仿宋_GB2312" w:hAnsi="Calibri" w:eastAsia="仿宋_GB2312" w:cs="仿宋_GB2312"/>
          <w:kern w:val="2"/>
          <w:sz w:val="32"/>
          <w:szCs w:val="32"/>
          <w:lang w:val="en-US" w:eastAsia="zh-CN" w:bidi="ar"/>
        </w:rPr>
        <w:t>三、为进一步加强预算绩效管理，切实提高财政资金使用效益，请按照《关于印发&lt;自治区本级部门预算绩效目标管理暂行办法&gt;的通知》（新财预〔2018〕21号）相关要求，你单位要加强资金绩效管理，提高财政资金使用效益。</w:t>
      </w:r>
    </w:p>
    <w:p>
      <w:pPr>
        <w:pStyle w:val="14"/>
        <w:spacing w:line="600" w:lineRule="exact"/>
        <w:ind w:left="0" w:leftChars="0" w:firstLine="0" w:firstLineChars="0"/>
        <w:rPr>
          <w:rFonts w:hint="eastAsia" w:ascii="仿宋_GB2312"/>
          <w:szCs w:val="32"/>
        </w:rPr>
      </w:pPr>
    </w:p>
    <w:p>
      <w:pPr>
        <w:pStyle w:val="14"/>
        <w:spacing w:line="600" w:lineRule="exact"/>
        <w:ind w:firstLine="4800" w:firstLineChars="1500"/>
        <w:rPr>
          <w:rFonts w:ascii="仿宋_GB2312"/>
          <w:szCs w:val="32"/>
        </w:rPr>
      </w:pPr>
      <w:r>
        <w:rPr>
          <w:rFonts w:hint="eastAsia" w:ascii="仿宋_GB2312"/>
          <w:szCs w:val="32"/>
        </w:rPr>
        <w:t xml:space="preserve"> </w:t>
      </w:r>
      <w:r>
        <w:rPr>
          <w:rFonts w:hint="eastAsia" w:ascii="仿宋_GB2312"/>
          <w:szCs w:val="32"/>
          <w:lang w:eastAsia="zh-CN"/>
        </w:rPr>
        <w:t>托克逊县</w:t>
      </w:r>
      <w:r>
        <w:rPr>
          <w:rFonts w:hint="eastAsia" w:ascii="仿宋_GB2312"/>
          <w:szCs w:val="32"/>
          <w:lang w:val="en-US" w:eastAsia="zh-CN"/>
        </w:rPr>
        <w:t>人民政府</w:t>
      </w:r>
      <w:r>
        <w:rPr>
          <w:rFonts w:hint="eastAsia" w:ascii="仿宋_GB2312"/>
          <w:szCs w:val="32"/>
        </w:rPr>
        <w:t>财政局</w:t>
      </w:r>
    </w:p>
    <w:p>
      <w:pPr>
        <w:spacing w:line="600" w:lineRule="exact"/>
        <w:ind w:firstLine="5440" w:firstLineChars="1700"/>
        <w:rPr>
          <w:rFonts w:hint="eastAsia" w:ascii="仿宋_GB2312" w:hAnsi="仿宋_GB2312" w:eastAsia="仿宋_GB2312" w:cs="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27</w:t>
      </w:r>
      <w:r>
        <w:rPr>
          <w:rFonts w:hint="eastAsia" w:ascii="仿宋_GB2312" w:eastAsia="仿宋_GB2312"/>
          <w:sz w:val="32"/>
          <w:szCs w:val="32"/>
        </w:rPr>
        <w:t>日</w:t>
      </w: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pStyle w:val="11"/>
        <w:keepNext w:val="0"/>
        <w:keepLines w:val="0"/>
        <w:pageBreakBefore w:val="0"/>
        <w:widowControl w:val="0"/>
        <w:kinsoku/>
        <w:wordWrap/>
        <w:overflowPunct/>
        <w:topLinePunct w:val="0"/>
        <w:bidi w:val="0"/>
        <w:snapToGrid/>
        <w:spacing w:line="560" w:lineRule="exact"/>
        <w:textAlignment w:val="auto"/>
        <w:rPr>
          <w:rFonts w:hint="eastAsia" w:ascii="仿宋_GB2312" w:hAnsi="仿宋_GB2312" w:eastAsia="仿宋_GB2312" w:cs="仿宋_GB2312"/>
          <w:sz w:val="32"/>
          <w:szCs w:val="32"/>
        </w:rPr>
      </w:pPr>
    </w:p>
    <w:p>
      <w:pPr>
        <w:rPr>
          <w:rFonts w:hint="eastAsia" w:ascii="仿宋_GB2312" w:eastAsia="仿宋_GB2312"/>
          <w:sz w:val="28"/>
          <w:szCs w:val="28"/>
        </w:rPr>
      </w:pPr>
      <w:r>
        <w:rPr>
          <w:rFonts w:hint="eastAsia"/>
        </w:rPr>
        <w:pict>
          <v:line id="_x0000_s2074" o:spid="_x0000_s2074" o:spt="20" style="position:absolute;left:0pt;margin-left:0pt;margin-top:0.25pt;height:0.15pt;width:442.2pt;z-index:251658240;mso-width-relative:page;mso-height-relative:page;" coordsize="21600,21600">
            <v:path arrowok="t"/>
            <v:fill focussize="0,0"/>
            <v:stroke weight="1.15pt"/>
            <v:imagedata o:title=""/>
            <o:lock v:ext="edit"/>
          </v:line>
        </w:pict>
      </w:r>
      <w:r>
        <w:rPr>
          <w:rFonts w:hint="eastAsia"/>
        </w:rPr>
        <w:pict>
          <v:line id="_x0000_s2075" o:spid="_x0000_s2075" o:spt="20" style="position:absolute;left:0pt;margin-left:0pt;margin-top:31.05pt;height:0pt;width:442.2pt;z-index:251659264;mso-width-relative:page;mso-height-relative:page;" coordsize="21600,21600">
            <v:path arrowok="t"/>
            <v:fill focussize="0,0"/>
            <v:stroke weight="0.85pt"/>
            <v:imagedata o:title=""/>
            <o:lock v:ext="edit"/>
          </v:line>
        </w:pict>
      </w:r>
      <w:r>
        <w:rPr>
          <w:rFonts w:hint="eastAsia" w:ascii="仿宋_GB2312" w:eastAsia="仿宋_GB2312"/>
          <w:sz w:val="28"/>
          <w:szCs w:val="28"/>
        </w:rPr>
        <w:t>抄送：预算科、</w:t>
      </w:r>
      <w:r>
        <w:rPr>
          <w:rFonts w:hint="eastAsia" w:ascii="仿宋_GB2312" w:hAnsi="仿宋_GB2312" w:eastAsia="仿宋_GB2312" w:cs="仿宋_GB2312"/>
          <w:spacing w:val="-6"/>
          <w:sz w:val="28"/>
          <w:szCs w:val="28"/>
        </w:rPr>
        <w:t>县</w:t>
      </w:r>
      <w:r>
        <w:rPr>
          <w:rFonts w:hint="eastAsia" w:ascii="仿宋_GB2312" w:hAnsi="仿宋_GB2312" w:eastAsia="仿宋_GB2312" w:cs="仿宋_GB2312"/>
          <w:spacing w:val="-6"/>
          <w:sz w:val="28"/>
          <w:szCs w:val="28"/>
          <w:lang w:val="en-US" w:eastAsia="zh-CN"/>
        </w:rPr>
        <w:t>残疾人联合会</w:t>
      </w:r>
    </w:p>
    <w:p>
      <w:pPr>
        <w:pStyle w:val="11"/>
        <w:rPr>
          <w:rFonts w:hint="eastAsia"/>
          <w:lang w:val="en-US" w:eastAsia="zh-CN"/>
        </w:rPr>
      </w:pPr>
      <w:r>
        <w:rPr>
          <w:rFonts w:hint="eastAsia" w:ascii="仿宋_GB2312" w:eastAsia="仿宋_GB2312"/>
          <w:sz w:val="28"/>
          <w:szCs w:val="28"/>
          <w:lang w:val="en-US"/>
        </w:rPr>
        <w:pict>
          <v:line id="_x0000_s2076" o:spid="_x0000_s2076" o:spt="20" style="position:absolute;left:0pt;margin-left:0pt;margin-top:31.45pt;height:0pt;width:442.2pt;z-index:251660288;mso-width-relative:page;mso-height-relative:page;" coordsize="21600,21600">
            <v:path arrowok="t"/>
            <v:fill focussize="0,0"/>
            <v:stroke weight="1.15pt"/>
            <v:imagedata o:title=""/>
            <o:lock v:ext="edit"/>
          </v:line>
        </w:pict>
      </w:r>
      <w:r>
        <w:rPr>
          <w:rFonts w:hint="eastAsia" w:ascii="仿宋_GB2312" w:eastAsia="仿宋_GB2312"/>
          <w:sz w:val="28"/>
          <w:szCs w:val="28"/>
          <w:lang w:val="en-US" w:eastAsia="zh-CN"/>
        </w:rPr>
        <w:t>托克逊县</w:t>
      </w:r>
      <w:r>
        <w:rPr>
          <w:rFonts w:hint="eastAsia" w:ascii="仿宋_GB2312" w:eastAsia="仿宋_GB2312"/>
          <w:sz w:val="28"/>
          <w:szCs w:val="28"/>
        </w:rPr>
        <w:t>财政局                           202</w:t>
      </w:r>
      <w:r>
        <w:rPr>
          <w:rFonts w:hint="eastAsia" w:ascii="仿宋_GB2312" w:eastAsia="仿宋_GB2312"/>
          <w:sz w:val="28"/>
          <w:szCs w:val="28"/>
          <w:lang w:val="en-US" w:eastAsia="zh-CN"/>
        </w:rPr>
        <w:t>4</w:t>
      </w:r>
      <w:bookmarkStart w:id="0" w:name="_GoBack"/>
      <w:bookmarkEnd w:id="0"/>
      <w:r>
        <w:rPr>
          <w:rFonts w:hint="eastAsia" w:ascii="仿宋_GB2312" w:eastAsia="仿宋_GB2312"/>
          <w:sz w:val="28"/>
          <w:szCs w:val="28"/>
        </w:rPr>
        <w:t>年12月</w:t>
      </w:r>
      <w:r>
        <w:rPr>
          <w:rFonts w:hint="eastAsia" w:ascii="仿宋_GB2312" w:eastAsia="仿宋_GB2312"/>
          <w:sz w:val="28"/>
          <w:szCs w:val="28"/>
          <w:lang w:val="en-US" w:eastAsia="zh-CN"/>
        </w:rPr>
        <w:t>27</w:t>
      </w:r>
      <w:r>
        <w:rPr>
          <w:rFonts w:hint="eastAsia" w:ascii="仿宋_GB2312" w:eastAsia="仿宋_GB2312"/>
          <w:sz w:val="28"/>
          <w:szCs w:val="28"/>
        </w:rPr>
        <w:t>日印发</w:t>
      </w:r>
    </w:p>
    <w:sectPr>
      <w:footerReference r:id="rId3" w:type="default"/>
      <w:footerReference r:id="rId4" w:type="even"/>
      <w:pgSz w:w="11906" w:h="16838"/>
      <w:pgMar w:top="2098" w:right="1587"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9691" w:y="12"/>
      <w:jc w:val="right"/>
      <w:rPr>
        <w:rStyle w:val="10"/>
        <w:rFonts w:ascii="宋体" w:hAnsi="宋体" w:eastAsia="宋体"/>
        <w:sz w:val="28"/>
      </w:rPr>
    </w:pPr>
    <w:r>
      <w:rPr>
        <w:rStyle w:val="10"/>
        <w:rFonts w:ascii="宋体" w:hAnsi="宋体" w:eastAsia="宋体"/>
        <w:sz w:val="28"/>
      </w:rPr>
      <w:fldChar w:fldCharType="begin"/>
    </w:r>
    <w:r>
      <w:rPr>
        <w:rStyle w:val="10"/>
        <w:rFonts w:ascii="宋体" w:hAnsi="宋体" w:eastAsia="宋体"/>
        <w:sz w:val="28"/>
      </w:rPr>
      <w:instrText xml:space="preserve"> PAGE </w:instrText>
    </w:r>
    <w:r>
      <w:rPr>
        <w:rStyle w:val="10"/>
        <w:rFonts w:ascii="宋体" w:hAnsi="宋体" w:eastAsia="宋体"/>
        <w:sz w:val="28"/>
      </w:rPr>
      <w:fldChar w:fldCharType="separate"/>
    </w:r>
    <w:r>
      <w:rPr>
        <w:rStyle w:val="10"/>
        <w:rFonts w:ascii="宋体" w:hAnsi="宋体" w:eastAsia="宋体"/>
        <w:sz w:val="28"/>
      </w:rPr>
      <w:t>1</w:t>
    </w:r>
    <w:r>
      <w:rPr>
        <w:rStyle w:val="10"/>
        <w:rFonts w:ascii="宋体" w:hAnsi="宋体" w:eastAsia="宋体"/>
        <w:sz w:val="28"/>
      </w:rPr>
      <w:fldChar w:fldCharType="end"/>
    </w:r>
    <w:r>
      <w:rPr>
        <w:rStyle w:val="10"/>
        <w:rFonts w:hint="eastAsia" w:ascii="宋体" w:hAnsi="宋体" w:eastAsia="宋体"/>
        <w:sz w:val="28"/>
      </w:rPr>
      <w:t xml:space="preserve"> </w:t>
    </w:r>
  </w:p>
  <w:p>
    <w:pPr>
      <w:pStyle w:val="4"/>
      <w:wordWrap w:val="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1531" w:y="42"/>
      <w:rPr>
        <w:rStyle w:val="10"/>
        <w:rFonts w:ascii="宋体" w:hAnsi="宋体" w:eastAsia="宋体"/>
        <w:sz w:val="28"/>
        <w:szCs w:val="28"/>
      </w:rPr>
    </w:pPr>
    <w:r>
      <w:rPr>
        <w:rStyle w:val="10"/>
        <w:rFonts w:ascii="宋体" w:hAnsi="宋体" w:eastAsia="宋体"/>
        <w:sz w:val="28"/>
        <w:szCs w:val="28"/>
      </w:rPr>
      <w:fldChar w:fldCharType="begin"/>
    </w:r>
    <w:r>
      <w:rPr>
        <w:rStyle w:val="10"/>
        <w:rFonts w:ascii="宋体" w:hAnsi="宋体" w:eastAsia="宋体"/>
        <w:sz w:val="28"/>
        <w:szCs w:val="28"/>
      </w:rPr>
      <w:instrText xml:space="preserve">PAGE  </w:instrText>
    </w:r>
    <w:r>
      <w:rPr>
        <w:rStyle w:val="10"/>
        <w:rFonts w:ascii="宋体" w:hAnsi="宋体" w:eastAsia="宋体"/>
        <w:sz w:val="28"/>
        <w:szCs w:val="28"/>
      </w:rPr>
      <w:fldChar w:fldCharType="separate"/>
    </w:r>
    <w:r>
      <w:rPr>
        <w:rStyle w:val="10"/>
        <w:rFonts w:ascii="宋体" w:hAnsi="宋体" w:eastAsia="宋体"/>
        <w:sz w:val="28"/>
        <w:szCs w:val="28"/>
      </w:rPr>
      <w:t>- 2 -</w:t>
    </w:r>
    <w:r>
      <w:rPr>
        <w:rStyle w:val="10"/>
        <w:rFonts w:ascii="宋体" w:hAnsi="宋体" w:eastAsia="宋体"/>
        <w:sz w:val="28"/>
        <w:szCs w:val="28"/>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55D03"/>
    <w:multiLevelType w:val="singleLevel"/>
    <w:tmpl w:val="41655D0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WRhZmMwZjdjNWJmYjg1MTRiMTkxYjA0ZjJkYTQ2ZmMifQ=="/>
  </w:docVars>
  <w:rsids>
    <w:rsidRoot w:val="00DE6E87"/>
    <w:rsid w:val="004A0187"/>
    <w:rsid w:val="007C56AA"/>
    <w:rsid w:val="00A32598"/>
    <w:rsid w:val="00BE07BD"/>
    <w:rsid w:val="00CF6642"/>
    <w:rsid w:val="00D15AA3"/>
    <w:rsid w:val="00DE6E87"/>
    <w:rsid w:val="032928CD"/>
    <w:rsid w:val="035A00D1"/>
    <w:rsid w:val="037E3515"/>
    <w:rsid w:val="05DE0C83"/>
    <w:rsid w:val="09CB12BA"/>
    <w:rsid w:val="0BD922AF"/>
    <w:rsid w:val="0CE53A5C"/>
    <w:rsid w:val="0F1E2C7E"/>
    <w:rsid w:val="10E02312"/>
    <w:rsid w:val="12D22C2E"/>
    <w:rsid w:val="131948A9"/>
    <w:rsid w:val="1A6B3915"/>
    <w:rsid w:val="1BAE624C"/>
    <w:rsid w:val="1DB51187"/>
    <w:rsid w:val="1DD90704"/>
    <w:rsid w:val="204D5FF7"/>
    <w:rsid w:val="2304162B"/>
    <w:rsid w:val="2462191B"/>
    <w:rsid w:val="24D924D3"/>
    <w:rsid w:val="28354B48"/>
    <w:rsid w:val="2AC0335C"/>
    <w:rsid w:val="2AF44463"/>
    <w:rsid w:val="2B2D438B"/>
    <w:rsid w:val="2C3A02D3"/>
    <w:rsid w:val="2C447C6A"/>
    <w:rsid w:val="32E12002"/>
    <w:rsid w:val="33B64D86"/>
    <w:rsid w:val="358B6F41"/>
    <w:rsid w:val="365C268B"/>
    <w:rsid w:val="37DF07A9"/>
    <w:rsid w:val="38693D35"/>
    <w:rsid w:val="3B950659"/>
    <w:rsid w:val="3C6814F1"/>
    <w:rsid w:val="3D5E47CC"/>
    <w:rsid w:val="3D793D76"/>
    <w:rsid w:val="3D8D35FC"/>
    <w:rsid w:val="3DFA698A"/>
    <w:rsid w:val="3ED95409"/>
    <w:rsid w:val="412117A5"/>
    <w:rsid w:val="413A6392"/>
    <w:rsid w:val="41BC78D5"/>
    <w:rsid w:val="41C60374"/>
    <w:rsid w:val="45637592"/>
    <w:rsid w:val="4A5968FF"/>
    <w:rsid w:val="4F62752E"/>
    <w:rsid w:val="50EC6257"/>
    <w:rsid w:val="52216AA6"/>
    <w:rsid w:val="567E31E9"/>
    <w:rsid w:val="56A723E1"/>
    <w:rsid w:val="57B7008C"/>
    <w:rsid w:val="58470CBE"/>
    <w:rsid w:val="596A0EE1"/>
    <w:rsid w:val="5B726779"/>
    <w:rsid w:val="5C4C377E"/>
    <w:rsid w:val="5F526256"/>
    <w:rsid w:val="60987FCA"/>
    <w:rsid w:val="612C6885"/>
    <w:rsid w:val="61C26C35"/>
    <w:rsid w:val="61CD6413"/>
    <w:rsid w:val="63D3537B"/>
    <w:rsid w:val="64BB33A8"/>
    <w:rsid w:val="654E61FE"/>
    <w:rsid w:val="676B3BCF"/>
    <w:rsid w:val="678A6FF5"/>
    <w:rsid w:val="69E12C05"/>
    <w:rsid w:val="6AC63268"/>
    <w:rsid w:val="6C0C5213"/>
    <w:rsid w:val="706C7406"/>
    <w:rsid w:val="788D7EA7"/>
    <w:rsid w:val="79084BDC"/>
    <w:rsid w:val="7A69432C"/>
    <w:rsid w:val="7AA36728"/>
    <w:rsid w:val="7B2D3096"/>
    <w:rsid w:val="7BF5023D"/>
    <w:rsid w:val="7C5D78A3"/>
    <w:rsid w:val="7EF432A0"/>
    <w:rsid w:val="7F0F274D"/>
    <w:rsid w:val="7F3D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paragraph" w:styleId="3">
    <w:name w:val="heading 6"/>
    <w:next w:val="1"/>
    <w:unhideWhenUsed/>
    <w:qFormat/>
    <w:uiPriority w:val="9"/>
    <w:pPr>
      <w:keepNext/>
      <w:keepLines/>
      <w:widowControl w:val="0"/>
      <w:spacing w:before="240" w:after="64" w:line="320" w:lineRule="auto"/>
      <w:jc w:val="both"/>
      <w:outlineLvl w:val="5"/>
    </w:pPr>
    <w:rPr>
      <w:rFonts w:ascii="Arial" w:hAnsi="Arial" w:eastAsia="黑体" w:cs="Times New Roman"/>
      <w:b/>
      <w:bCs/>
      <w:kern w:val="2"/>
      <w:sz w:val="24"/>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Default"/>
    <w:basedOn w:val="1"/>
    <w:qFormat/>
    <w:uiPriority w:val="0"/>
    <w:pPr>
      <w:autoSpaceDE w:val="0"/>
      <w:autoSpaceDN w:val="0"/>
      <w:adjustRightInd w:val="0"/>
      <w:jc w:val="left"/>
    </w:pPr>
    <w:rPr>
      <w:rFonts w:cs="Times New Roman"/>
      <w:color w:val="000000"/>
      <w:sz w:val="24"/>
    </w:rPr>
  </w:style>
  <w:style w:type="character" w:customStyle="1" w:styleId="12">
    <w:name w:val="页眉 Char"/>
    <w:basedOn w:val="9"/>
    <w:link w:val="5"/>
    <w:semiHidden/>
    <w:qFormat/>
    <w:uiPriority w:val="99"/>
    <w:rPr>
      <w:sz w:val="18"/>
      <w:szCs w:val="18"/>
    </w:rPr>
  </w:style>
  <w:style w:type="character" w:customStyle="1" w:styleId="13">
    <w:name w:val="页脚 Char"/>
    <w:basedOn w:val="9"/>
    <w:link w:val="4"/>
    <w:semiHidden/>
    <w:qFormat/>
    <w:uiPriority w:val="99"/>
    <w:rPr>
      <w:sz w:val="18"/>
      <w:szCs w:val="18"/>
    </w:rPr>
  </w:style>
  <w:style w:type="paragraph" w:styleId="14">
    <w:name w:val="No Spacing"/>
    <w:qFormat/>
    <w:uiPriority w:val="1"/>
    <w:pPr>
      <w:widowControl w:val="0"/>
      <w:ind w:firstLine="200" w:firstLineChars="200"/>
      <w:jc w:val="both"/>
    </w:pPr>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74"/>
    <customShpInfo spid="_x0000_s2075"/>
    <customShpInfo spid="_x0000_s207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672</Words>
  <Characters>730</Characters>
  <Lines>8</Lines>
  <Paragraphs>2</Paragraphs>
  <TotalTime>8</TotalTime>
  <ScaleCrop>false</ScaleCrop>
  <LinksUpToDate>false</LinksUpToDate>
  <CharactersWithSpaces>781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2021-01-01T12:05:00Z</dcterms:created>
  <dc:creator>nyk1</dc:creator>
  <cp:lastModifiedBy>Administrator</cp:lastModifiedBy>
  <cp:lastPrinted>2025-01-24T04:26:39Z</cp:lastPrinted>
  <dcterms:modified xsi:type="dcterms:W3CDTF">2025-01-24T04:26:45Z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22EDCC55CE084E50A564E9C3EB7167D8</vt:lpwstr>
  </property>
</Properties>
</file>